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07F27FC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A246F3">
        <w:rPr>
          <w:rFonts w:ascii="Calibri" w:eastAsia="Calibri" w:hAnsi="Calibri" w:cs="Arial"/>
          <w:b/>
          <w:sz w:val="28"/>
          <w:szCs w:val="28"/>
          <w:lang w:eastAsia="en-US"/>
        </w:rPr>
        <w:t>pro část 3</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3DF65214" w:rsidR="0073070F" w:rsidRPr="00A246F3" w:rsidRDefault="00A246F3" w:rsidP="00A246F3">
      <w:pPr>
        <w:pStyle w:val="Nadpis8"/>
      </w:pPr>
      <w:bookmarkStart w:id="0" w:name="_Hlk46760625"/>
      <w:r w:rsidRPr="00A246F3">
        <w:t>Laboratorní přístrojové vybavení 6</w:t>
      </w:r>
      <w:bookmarkEnd w:id="0"/>
    </w:p>
    <w:p w14:paraId="110ACF07" w14:textId="77777777" w:rsidR="00393D63" w:rsidRDefault="00393D63" w:rsidP="002B39F1">
      <w:pPr>
        <w:jc w:val="both"/>
        <w:rPr>
          <w:rFonts w:asciiTheme="minorHAnsi" w:hAnsiTheme="minorHAnsi" w:cs="Arial"/>
          <w:b/>
          <w:bCs/>
          <w:sz w:val="24"/>
        </w:rPr>
      </w:pPr>
    </w:p>
    <w:p w14:paraId="66B4FF3B" w14:textId="45228D65"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A246F3">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14:paraId="48B06368" w14:textId="4433DB67" w:rsidR="00BE2F18" w:rsidRPr="00BE2F18" w:rsidRDefault="00D64F36" w:rsidP="00BE2F18">
      <w:pPr>
        <w:pStyle w:val="Nadpis3"/>
        <w:shd w:val="clear" w:color="auto" w:fill="C5E0B3" w:themeFill="accent6" w:themeFillTint="66"/>
        <w:rPr>
          <w:rFonts w:asciiTheme="minorHAnsi" w:hAnsiTheme="minorHAnsi" w:cs="Arial"/>
          <w:bCs/>
        </w:rPr>
      </w:pPr>
      <w:r>
        <w:rPr>
          <w:rFonts w:cs="Calibri"/>
          <w:bCs/>
        </w:rPr>
        <w:t>Imunochemický analyzátor</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41BBE870" w:rsidR="002B39F1" w:rsidRPr="00A246F3" w:rsidRDefault="00A246F3" w:rsidP="00A246F3">
      <w:pPr>
        <w:pStyle w:val="Zkladntext3"/>
        <w:rPr>
          <w:rFonts w:cs="Calibri"/>
        </w:rPr>
      </w:pPr>
      <w:bookmarkStart w:id="1" w:name="_Hlk46760657"/>
      <w:r w:rsidRPr="00A246F3">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1"/>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5F9EC563" w:rsidR="00602A33" w:rsidRDefault="00A246F3"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182D6877" w:rsidR="00600F8C" w:rsidRPr="00393D63" w:rsidRDefault="00D64F36"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Imunochemický analyzátor </w:t>
            </w:r>
            <w:r w:rsidR="00A246F3">
              <w:rPr>
                <w:rFonts w:asciiTheme="minorHAnsi" w:hAnsiTheme="minorHAnsi" w:cs="Arial"/>
                <w:b/>
                <w:sz w:val="28"/>
                <w:szCs w:val="28"/>
              </w:rPr>
              <w:t xml:space="preserve">- </w:t>
            </w:r>
            <w:r>
              <w:rPr>
                <w:rFonts w:asciiTheme="minorHAnsi" w:hAnsiTheme="minorHAnsi" w:cs="Arial"/>
                <w:b/>
                <w:sz w:val="28"/>
                <w:szCs w:val="28"/>
              </w:rPr>
              <w:t>1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64F36" w:rsidRPr="002476E6" w14:paraId="3A598907" w14:textId="77777777" w:rsidTr="00CF29F5">
        <w:tc>
          <w:tcPr>
            <w:tcW w:w="4536" w:type="dxa"/>
          </w:tcPr>
          <w:p w14:paraId="72A2A3B7" w14:textId="03D760C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Plně automatizovaný analyzátor pro heterogenní imunoanalýzu, založený na technologii elektrochemiluminiscence, chemilminiscence</w:t>
            </w:r>
          </w:p>
        </w:tc>
        <w:tc>
          <w:tcPr>
            <w:tcW w:w="1276" w:type="dxa"/>
            <w:vAlign w:val="center"/>
          </w:tcPr>
          <w:p w14:paraId="646F8662"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30F1B7F2" w14:textId="77777777" w:rsidTr="00CF29F5">
        <w:tc>
          <w:tcPr>
            <w:tcW w:w="4536" w:type="dxa"/>
          </w:tcPr>
          <w:p w14:paraId="17EAA6BD" w14:textId="570B77D7"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Kontinuální práce se vzork</w:t>
            </w:r>
            <w:r w:rsidR="009E717E">
              <w:rPr>
                <w:rFonts w:asciiTheme="minorHAnsi" w:hAnsiTheme="minorHAnsi" w:cs="Arial"/>
                <w:szCs w:val="22"/>
              </w:rPr>
              <w:t>y</w:t>
            </w:r>
            <w:r w:rsidRPr="009E717E">
              <w:rPr>
                <w:rFonts w:asciiTheme="minorHAnsi" w:hAnsiTheme="minorHAnsi" w:cs="Arial"/>
                <w:szCs w:val="22"/>
              </w:rPr>
              <w:t xml:space="preserve"> </w:t>
            </w:r>
          </w:p>
        </w:tc>
        <w:tc>
          <w:tcPr>
            <w:tcW w:w="1276" w:type="dxa"/>
            <w:vAlign w:val="center"/>
          </w:tcPr>
          <w:p w14:paraId="200B684B"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36D3571" w14:textId="77777777" w:rsidTr="00CF29F5">
        <w:tc>
          <w:tcPr>
            <w:tcW w:w="4536" w:type="dxa"/>
          </w:tcPr>
          <w:p w14:paraId="0AEE8A5C" w14:textId="77777777" w:rsidR="00D64F36" w:rsidRPr="009E717E" w:rsidRDefault="00D64F36" w:rsidP="00D64F36">
            <w:pPr>
              <w:rPr>
                <w:rFonts w:asciiTheme="minorHAnsi" w:hAnsiTheme="minorHAnsi" w:cs="Arial"/>
                <w:sz w:val="22"/>
                <w:szCs w:val="22"/>
              </w:rPr>
            </w:pPr>
            <w:r w:rsidRPr="009E717E">
              <w:rPr>
                <w:rFonts w:asciiTheme="minorHAnsi" w:hAnsiTheme="minorHAnsi" w:cs="Arial"/>
                <w:sz w:val="22"/>
                <w:szCs w:val="22"/>
              </w:rPr>
              <w:t>Analyzátor musí být nový a nerepasovaný.</w:t>
            </w:r>
          </w:p>
          <w:p w14:paraId="3943BDCF" w14:textId="6FCD21CE" w:rsidR="00D64F36" w:rsidRPr="009E717E" w:rsidRDefault="00D64F36" w:rsidP="00D64F36">
            <w:pPr>
              <w:pStyle w:val="Podbod"/>
              <w:jc w:val="left"/>
              <w:rPr>
                <w:rFonts w:asciiTheme="minorHAnsi" w:hAnsiTheme="minorHAnsi"/>
                <w:szCs w:val="22"/>
              </w:rPr>
            </w:pPr>
          </w:p>
        </w:tc>
        <w:tc>
          <w:tcPr>
            <w:tcW w:w="1276" w:type="dxa"/>
            <w:vAlign w:val="center"/>
          </w:tcPr>
          <w:p w14:paraId="76D580B1" w14:textId="1D7750F2"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76E0399D" w14:textId="77777777" w:rsidTr="00CF29F5">
        <w:tc>
          <w:tcPr>
            <w:tcW w:w="4536" w:type="dxa"/>
          </w:tcPr>
          <w:p w14:paraId="442A7EFA" w14:textId="7C3E9CC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Výrobce analyzátoru, reagencií i spotřebního materiálu musí být identický – uzavřený systém.</w:t>
            </w:r>
          </w:p>
        </w:tc>
        <w:tc>
          <w:tcPr>
            <w:tcW w:w="1276" w:type="dxa"/>
            <w:vAlign w:val="center"/>
          </w:tcPr>
          <w:p w14:paraId="2D562246"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71485094" w14:textId="77777777" w:rsidTr="00CF29F5">
        <w:tc>
          <w:tcPr>
            <w:tcW w:w="4536" w:type="dxa"/>
          </w:tcPr>
          <w:p w14:paraId="130F4455" w14:textId="091232DA"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“Ready to use” reagenční kazety</w:t>
            </w:r>
          </w:p>
        </w:tc>
        <w:tc>
          <w:tcPr>
            <w:tcW w:w="1276" w:type="dxa"/>
            <w:vAlign w:val="center"/>
          </w:tcPr>
          <w:p w14:paraId="4BBD33F0"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26FB8522" w14:textId="77777777" w:rsidTr="00CF29F5">
        <w:tc>
          <w:tcPr>
            <w:tcW w:w="4536" w:type="dxa"/>
          </w:tcPr>
          <w:p w14:paraId="7E48338D" w14:textId="1A3588A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Stabilita reagencií na palubě min. 6 týdnů</w:t>
            </w:r>
          </w:p>
        </w:tc>
        <w:tc>
          <w:tcPr>
            <w:tcW w:w="1276" w:type="dxa"/>
            <w:vAlign w:val="center"/>
          </w:tcPr>
          <w:p w14:paraId="32EE96BE"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D64F36" w:rsidRPr="002476E6"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36A39592" w14:textId="77777777" w:rsidTr="00CF29F5">
        <w:tc>
          <w:tcPr>
            <w:tcW w:w="4536" w:type="dxa"/>
          </w:tcPr>
          <w:p w14:paraId="219EF7A7" w14:textId="12C90029"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Spotřeba vody do 2l na 100 testů</w:t>
            </w:r>
          </w:p>
        </w:tc>
        <w:tc>
          <w:tcPr>
            <w:tcW w:w="1276" w:type="dxa"/>
            <w:vAlign w:val="center"/>
          </w:tcPr>
          <w:p w14:paraId="6A8F7D9C" w14:textId="77777777" w:rsidR="00D64F36" w:rsidRDefault="00D64F36" w:rsidP="00D64F36">
            <w:pPr>
              <w:jc w:val="center"/>
            </w:pPr>
            <w:r w:rsidRPr="00BB42BA">
              <w:rPr>
                <w:rFonts w:ascii="Calibri" w:hAnsi="Calibri" w:cs="Calibri"/>
                <w:color w:val="FF0000"/>
                <w:szCs w:val="20"/>
              </w:rPr>
              <w:t>(doplní dodavatel)</w:t>
            </w:r>
          </w:p>
        </w:tc>
        <w:tc>
          <w:tcPr>
            <w:tcW w:w="3821" w:type="dxa"/>
            <w:vAlign w:val="center"/>
          </w:tcPr>
          <w:p w14:paraId="1DD2AF80" w14:textId="77777777" w:rsidR="00D64F36" w:rsidRDefault="00D64F36" w:rsidP="00D64F36">
            <w:pPr>
              <w:jc w:val="center"/>
            </w:pPr>
            <w:r w:rsidRPr="000F2B33">
              <w:rPr>
                <w:rFonts w:ascii="Calibri" w:hAnsi="Calibri" w:cs="Calibri"/>
                <w:color w:val="FF0000"/>
                <w:szCs w:val="20"/>
              </w:rPr>
              <w:t>(doplní dodavatel)</w:t>
            </w:r>
          </w:p>
        </w:tc>
      </w:tr>
      <w:tr w:rsidR="00D64F36" w:rsidRPr="002476E6" w14:paraId="131EE276" w14:textId="77777777" w:rsidTr="00CF29F5">
        <w:tc>
          <w:tcPr>
            <w:tcW w:w="4536" w:type="dxa"/>
          </w:tcPr>
          <w:p w14:paraId="0B469C2E" w14:textId="4417D7EC"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lastRenderedPageBreak/>
              <w:t>Teoretický hodinový výkon min. 80 testů</w:t>
            </w:r>
          </w:p>
        </w:tc>
        <w:tc>
          <w:tcPr>
            <w:tcW w:w="1276" w:type="dxa"/>
            <w:vAlign w:val="center"/>
          </w:tcPr>
          <w:p w14:paraId="2EE24DDB" w14:textId="55CC2883"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9B784DC" w14:textId="77777777" w:rsidTr="00CF29F5">
        <w:tc>
          <w:tcPr>
            <w:tcW w:w="4536" w:type="dxa"/>
          </w:tcPr>
          <w:p w14:paraId="22E27AB2" w14:textId="61C346F5"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Nízký objem vzorku pro analýzu, do 50ul pro všechny metody</w:t>
            </w:r>
          </w:p>
        </w:tc>
        <w:tc>
          <w:tcPr>
            <w:tcW w:w="1276" w:type="dxa"/>
            <w:vAlign w:val="center"/>
          </w:tcPr>
          <w:p w14:paraId="6589D07C" w14:textId="38E80EA6"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40371AD4" w14:textId="77777777" w:rsidTr="00CF29F5">
        <w:tc>
          <w:tcPr>
            <w:tcW w:w="4536" w:type="dxa"/>
          </w:tcPr>
          <w:p w14:paraId="4F4326F4" w14:textId="0231CC3E"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Doba analýzy metod do 30 min, možnost STAT testu do 9 min</w:t>
            </w:r>
          </w:p>
        </w:tc>
        <w:tc>
          <w:tcPr>
            <w:tcW w:w="1276" w:type="dxa"/>
            <w:vAlign w:val="center"/>
          </w:tcPr>
          <w:p w14:paraId="5E3A3F12" w14:textId="452F57F0"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D64F36" w:rsidRPr="002476E6" w14:paraId="5BBBDA0D" w14:textId="77777777" w:rsidTr="00CF29F5">
        <w:tc>
          <w:tcPr>
            <w:tcW w:w="4536" w:type="dxa"/>
          </w:tcPr>
          <w:p w14:paraId="1D0CFFEC" w14:textId="4B75210B" w:rsidR="00D64F36" w:rsidRPr="009E717E" w:rsidRDefault="00D64F36" w:rsidP="00D64F36">
            <w:pPr>
              <w:pStyle w:val="Podbod"/>
              <w:jc w:val="left"/>
              <w:rPr>
                <w:rFonts w:asciiTheme="minorHAnsi" w:hAnsiTheme="minorHAnsi"/>
                <w:szCs w:val="22"/>
              </w:rPr>
            </w:pPr>
            <w:r w:rsidRPr="009E717E">
              <w:rPr>
                <w:rFonts w:asciiTheme="minorHAnsi" w:hAnsiTheme="minorHAnsi" w:cs="Arial"/>
                <w:szCs w:val="22"/>
              </w:rPr>
              <w:t>Min. 16 metod na palubě</w:t>
            </w:r>
          </w:p>
        </w:tc>
        <w:tc>
          <w:tcPr>
            <w:tcW w:w="1276" w:type="dxa"/>
            <w:vAlign w:val="center"/>
          </w:tcPr>
          <w:p w14:paraId="16C2D076" w14:textId="69B1B4A7" w:rsidR="00D64F36" w:rsidRPr="00BB42BA"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C3FC88" w14:textId="616C52AB" w:rsidR="00D64F36" w:rsidRPr="000F2B33" w:rsidRDefault="00D64F36" w:rsidP="00D64F36">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FC7E119" w14:textId="77777777" w:rsidTr="00CF29F5">
        <w:tc>
          <w:tcPr>
            <w:tcW w:w="4536" w:type="dxa"/>
          </w:tcPr>
          <w:p w14:paraId="793A843A" w14:textId="6781778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Dvoubodová kalibrace pro celou šarži reagencií</w:t>
            </w:r>
          </w:p>
        </w:tc>
        <w:tc>
          <w:tcPr>
            <w:tcW w:w="1276" w:type="dxa"/>
            <w:vAlign w:val="center"/>
          </w:tcPr>
          <w:p w14:paraId="54EF9071" w14:textId="4261ADD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852422" w14:textId="38577F3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2BEA40C" w14:textId="77777777" w:rsidTr="00CF29F5">
        <w:tc>
          <w:tcPr>
            <w:tcW w:w="4536" w:type="dxa"/>
          </w:tcPr>
          <w:p w14:paraId="1213777E" w14:textId="6CD2EF99"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Jednorázové špičky, vylučující přenos mezi pipetováním jednotlivých vzorků</w:t>
            </w:r>
          </w:p>
        </w:tc>
        <w:tc>
          <w:tcPr>
            <w:tcW w:w="1276" w:type="dxa"/>
            <w:vAlign w:val="center"/>
          </w:tcPr>
          <w:p w14:paraId="0FDBD679" w14:textId="0FB8C31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BF8E2F" w14:textId="3E2210B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8BF1534" w14:textId="77777777" w:rsidTr="00CF29F5">
        <w:tc>
          <w:tcPr>
            <w:tcW w:w="4536" w:type="dxa"/>
          </w:tcPr>
          <w:p w14:paraId="16A84DAF" w14:textId="733EA8F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Pravidelné kontaktní promíchávání mikročástic v soupravách pro jejich homogenitu</w:t>
            </w:r>
          </w:p>
        </w:tc>
        <w:tc>
          <w:tcPr>
            <w:tcW w:w="1276" w:type="dxa"/>
            <w:vAlign w:val="center"/>
          </w:tcPr>
          <w:p w14:paraId="51B8E6A6" w14:textId="3BE82CE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75515C" w14:textId="550E528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B3310E7" w14:textId="77777777" w:rsidTr="00CF29F5">
        <w:tc>
          <w:tcPr>
            <w:tcW w:w="4536" w:type="dxa"/>
          </w:tcPr>
          <w:p w14:paraId="359D637A" w14:textId="45E499E4"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Detekce sraženiny, hladiny a bublin</w:t>
            </w:r>
          </w:p>
        </w:tc>
        <w:tc>
          <w:tcPr>
            <w:tcW w:w="1276" w:type="dxa"/>
            <w:vAlign w:val="center"/>
          </w:tcPr>
          <w:p w14:paraId="71FE1543" w14:textId="21811E59"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82924B" w14:textId="7176083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0D6C73F6" w14:textId="77777777" w:rsidTr="00CF29F5">
        <w:tc>
          <w:tcPr>
            <w:tcW w:w="4536" w:type="dxa"/>
          </w:tcPr>
          <w:p w14:paraId="111C369A" w14:textId="6DF0A667"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Načítání aplikačních dat pomocí čárových kódů, zabraňující vzniku chyb</w:t>
            </w:r>
          </w:p>
        </w:tc>
        <w:tc>
          <w:tcPr>
            <w:tcW w:w="1276" w:type="dxa"/>
            <w:vAlign w:val="center"/>
          </w:tcPr>
          <w:p w14:paraId="02676CC5" w14:textId="5826BFB6"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C4653B" w14:textId="619581C1"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DE56D2E" w14:textId="77777777" w:rsidTr="00CF29F5">
        <w:tc>
          <w:tcPr>
            <w:tcW w:w="4536" w:type="dxa"/>
          </w:tcPr>
          <w:p w14:paraId="14A96196" w14:textId="1B912B98" w:rsidR="00CC0668" w:rsidRPr="009E717E" w:rsidRDefault="00CC0668" w:rsidP="00CC0668">
            <w:pPr>
              <w:pStyle w:val="Podbod"/>
              <w:jc w:val="left"/>
              <w:rPr>
                <w:rFonts w:asciiTheme="minorHAnsi" w:hAnsiTheme="minorHAnsi"/>
                <w:szCs w:val="22"/>
              </w:rPr>
            </w:pPr>
            <w:r w:rsidRPr="009E717E">
              <w:rPr>
                <w:rFonts w:asciiTheme="minorHAnsi" w:hAnsiTheme="minorHAnsi" w:cs="Arial"/>
                <w:bCs/>
                <w:szCs w:val="22"/>
              </w:rPr>
              <w:t>Připojení k laboratornímu systému. Aktuální LIS DsSoft (cena za připojení součástí nabídky)</w:t>
            </w:r>
          </w:p>
        </w:tc>
        <w:tc>
          <w:tcPr>
            <w:tcW w:w="1276" w:type="dxa"/>
            <w:vAlign w:val="center"/>
          </w:tcPr>
          <w:p w14:paraId="41117A54" w14:textId="3F9FC4BF"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8EC341" w14:textId="6F4BA1FC"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6FE5DA20" w14:textId="77777777" w:rsidTr="00CF29F5">
        <w:tc>
          <w:tcPr>
            <w:tcW w:w="4536" w:type="dxa"/>
          </w:tcPr>
          <w:p w14:paraId="259A4C03" w14:textId="0187C48D"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Obrazovka přehledu dat pro rychlou a průběžnou sledovatelnost výsledků</w:t>
            </w:r>
          </w:p>
        </w:tc>
        <w:tc>
          <w:tcPr>
            <w:tcW w:w="1276" w:type="dxa"/>
            <w:vAlign w:val="center"/>
          </w:tcPr>
          <w:p w14:paraId="2B62E1D0" w14:textId="43922F2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7DB06C" w14:textId="5A2755D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2F642B5" w14:textId="77777777" w:rsidTr="00CF29F5">
        <w:tc>
          <w:tcPr>
            <w:tcW w:w="4536" w:type="dxa"/>
          </w:tcPr>
          <w:p w14:paraId="5FEDF4FC" w14:textId="4576F342" w:rsidR="00CC0668" w:rsidRPr="00A246F3" w:rsidRDefault="00CC0668" w:rsidP="009E717E">
            <w:pPr>
              <w:pStyle w:val="H-TextFormat"/>
              <w:widowControl/>
              <w:autoSpaceDE/>
              <w:autoSpaceDN/>
              <w:adjustRightInd/>
              <w:rPr>
                <w:rFonts w:asciiTheme="minorHAnsi" w:hAnsiTheme="minorHAnsi" w:cs="Calibri"/>
              </w:rPr>
            </w:pPr>
            <w:r w:rsidRPr="00A246F3">
              <w:rPr>
                <w:rFonts w:asciiTheme="minorHAnsi" w:eastAsia="Times New Roman" w:hAnsiTheme="minorHAnsi" w:cs="Calibri"/>
                <w:lang w:val="cs-CZ"/>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46DC4F06" w14:textId="3213EF5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D06D1A" w14:textId="41D0DF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5545C8F" w14:textId="77777777" w:rsidTr="00CF29F5">
        <w:tc>
          <w:tcPr>
            <w:tcW w:w="4536" w:type="dxa"/>
          </w:tcPr>
          <w:p w14:paraId="0BD40789" w14:textId="471645DF" w:rsidR="00CC0668" w:rsidRPr="00A246F3" w:rsidRDefault="00CC0668" w:rsidP="009E717E">
            <w:pPr>
              <w:pStyle w:val="H-TextFormat"/>
              <w:widowControl/>
              <w:autoSpaceDE/>
              <w:autoSpaceDN/>
              <w:adjustRightInd/>
              <w:rPr>
                <w:rFonts w:asciiTheme="minorHAnsi" w:hAnsiTheme="minorHAnsi"/>
              </w:rPr>
            </w:pPr>
            <w:r w:rsidRPr="00A246F3">
              <w:rPr>
                <w:rFonts w:asciiTheme="minorHAnsi" w:eastAsia="Times New Roman" w:hAnsiTheme="minorHAnsi" w:cs="Calibri"/>
                <w:lang w:val="cs-CZ"/>
              </w:rPr>
              <w:t>Otevřený firemní middleware umožňující připojit více zařízení přes jeden přístup do LIS</w:t>
            </w:r>
          </w:p>
        </w:tc>
        <w:tc>
          <w:tcPr>
            <w:tcW w:w="1276" w:type="dxa"/>
            <w:vAlign w:val="center"/>
          </w:tcPr>
          <w:p w14:paraId="6031CAE4" w14:textId="0522B7B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41688A" w14:textId="1FEF7BB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516D811" w14:textId="77777777" w:rsidTr="00CF29F5">
        <w:tc>
          <w:tcPr>
            <w:tcW w:w="4536" w:type="dxa"/>
          </w:tcPr>
          <w:p w14:paraId="406FBF7A" w14:textId="3C83606B" w:rsidR="00CC0668" w:rsidRPr="00A246F3" w:rsidRDefault="00CC0668" w:rsidP="00CC0668">
            <w:pPr>
              <w:pStyle w:val="Podbod"/>
              <w:jc w:val="left"/>
              <w:rPr>
                <w:rFonts w:asciiTheme="minorHAnsi" w:hAnsiTheme="minorHAnsi"/>
                <w:szCs w:val="22"/>
              </w:rPr>
            </w:pPr>
            <w:r w:rsidRPr="00A246F3">
              <w:rPr>
                <w:rFonts w:asciiTheme="minorHAnsi" w:hAnsiTheme="minorHAnsi" w:cs="Arial"/>
                <w:szCs w:val="22"/>
              </w:rPr>
              <w:t xml:space="preserve">Přístup přes vzdálenou správu zajišťovaný firmou, která provádí servis a roční preventivní prohlídky, musí splňovat podmínky GDPR včetně bezpečnostních záruk. Vzdálená správa podporuje zasílání chybových hlášení servisu bez zásahu uživatele s dodržením všech bezpečnostních záruk. Podpora aplikačního specialisty pomocí vzdálené správy. </w:t>
            </w:r>
          </w:p>
        </w:tc>
        <w:tc>
          <w:tcPr>
            <w:tcW w:w="1276" w:type="dxa"/>
            <w:vAlign w:val="center"/>
          </w:tcPr>
          <w:p w14:paraId="1A1189F5" w14:textId="416AF6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DE63F4A" w14:textId="3F87003A"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5B7CF8AE" w14:textId="77777777" w:rsidTr="00CF29F5">
        <w:tc>
          <w:tcPr>
            <w:tcW w:w="4536" w:type="dxa"/>
          </w:tcPr>
          <w:p w14:paraId="7269EAF3" w14:textId="3A272F69"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lastRenderedPageBreak/>
              <w:t xml:space="preserve">Široké spektrum dostupných metod – min. 40 (nepočítají se specifické IgE) </w:t>
            </w:r>
            <w:r w:rsidRPr="009E717E">
              <w:rPr>
                <w:rFonts w:asciiTheme="minorHAnsi" w:hAnsiTheme="minorHAnsi" w:cs="Arial"/>
                <w:b/>
                <w:szCs w:val="22"/>
              </w:rPr>
              <w:t>Nezbytné jsou tyto metody:</w:t>
            </w:r>
          </w:p>
        </w:tc>
        <w:tc>
          <w:tcPr>
            <w:tcW w:w="1276" w:type="dxa"/>
            <w:vAlign w:val="center"/>
          </w:tcPr>
          <w:p w14:paraId="6467564D" w14:textId="39208AAF"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66A2B5" w14:textId="30753EB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3ABC6C9" w14:textId="77777777" w:rsidTr="00CF29F5">
        <w:tc>
          <w:tcPr>
            <w:tcW w:w="4536" w:type="dxa"/>
          </w:tcPr>
          <w:p w14:paraId="2F9C8627" w14:textId="06D6BC73" w:rsidR="00CC0668" w:rsidRPr="009E717E" w:rsidRDefault="00CC0668" w:rsidP="00CC0668">
            <w:pPr>
              <w:pStyle w:val="Podbod"/>
              <w:numPr>
                <w:ilvl w:val="0"/>
                <w:numId w:val="25"/>
              </w:numPr>
              <w:jc w:val="left"/>
              <w:rPr>
                <w:rFonts w:asciiTheme="minorHAnsi" w:hAnsiTheme="minorHAnsi"/>
                <w:szCs w:val="22"/>
              </w:rPr>
            </w:pPr>
            <w:r w:rsidRPr="009E717E">
              <w:rPr>
                <w:rFonts w:asciiTheme="minorHAnsi" w:hAnsiTheme="minorHAnsi" w:cs="Arial"/>
                <w:szCs w:val="22"/>
              </w:rPr>
              <w:t>Stanovení hs troponinu T</w:t>
            </w:r>
          </w:p>
        </w:tc>
        <w:tc>
          <w:tcPr>
            <w:tcW w:w="1276" w:type="dxa"/>
            <w:vAlign w:val="center"/>
          </w:tcPr>
          <w:p w14:paraId="22D3445C" w14:textId="1CF3652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F24E1F" w14:textId="407C098B"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4EE07956" w14:textId="77777777" w:rsidTr="00CF29F5">
        <w:tc>
          <w:tcPr>
            <w:tcW w:w="4536" w:type="dxa"/>
          </w:tcPr>
          <w:p w14:paraId="1FF610D2" w14:textId="77084404"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Kostní metabolismus: beta-crosslaps, PTH(1-84), P1NP</w:t>
            </w:r>
          </w:p>
        </w:tc>
        <w:tc>
          <w:tcPr>
            <w:tcW w:w="1276" w:type="dxa"/>
            <w:vAlign w:val="center"/>
          </w:tcPr>
          <w:p w14:paraId="3DF00F3F" w14:textId="7186EFD0"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85BE40" w14:textId="60AAE1F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2B9068C" w14:textId="77777777" w:rsidTr="00CF29F5">
        <w:tc>
          <w:tcPr>
            <w:tcW w:w="4536" w:type="dxa"/>
          </w:tcPr>
          <w:p w14:paraId="149BBB27" w14:textId="13264F28"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Stanovení 25 OH vitamínu D</w:t>
            </w:r>
          </w:p>
        </w:tc>
        <w:tc>
          <w:tcPr>
            <w:tcW w:w="1276" w:type="dxa"/>
            <w:vAlign w:val="center"/>
          </w:tcPr>
          <w:p w14:paraId="356771A7" w14:textId="16ACA89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7FED22" w14:textId="78CD529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895DFB1" w14:textId="77777777" w:rsidTr="00CF29F5">
        <w:tc>
          <w:tcPr>
            <w:tcW w:w="4536" w:type="dxa"/>
          </w:tcPr>
          <w:p w14:paraId="7F3CF07D" w14:textId="3FB77531"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HCG+beta s těhotenskou a onkologickou indikací</w:t>
            </w:r>
          </w:p>
        </w:tc>
        <w:tc>
          <w:tcPr>
            <w:tcW w:w="1276" w:type="dxa"/>
            <w:vAlign w:val="center"/>
          </w:tcPr>
          <w:p w14:paraId="5FE2DE20" w14:textId="77E7717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704F10" w14:textId="04F86B4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9122B93" w14:textId="77777777" w:rsidTr="00CF29F5">
        <w:tc>
          <w:tcPr>
            <w:tcW w:w="4536" w:type="dxa"/>
          </w:tcPr>
          <w:p w14:paraId="28B38310" w14:textId="7C17B376"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Onkologie: CA 72-4, HE4, Cyfra 21-1, NSE</w:t>
            </w:r>
          </w:p>
        </w:tc>
        <w:tc>
          <w:tcPr>
            <w:tcW w:w="1276" w:type="dxa"/>
            <w:vAlign w:val="center"/>
          </w:tcPr>
          <w:p w14:paraId="09B7B6BC" w14:textId="49391BB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EA0D6E" w14:textId="2EE87AB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4569ECC1" w14:textId="77777777" w:rsidTr="00CF29F5">
        <w:tc>
          <w:tcPr>
            <w:tcW w:w="4536" w:type="dxa"/>
          </w:tcPr>
          <w:p w14:paraId="691E6E7B" w14:textId="344CADD4"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Sepse: prokalcitonin</w:t>
            </w:r>
          </w:p>
        </w:tc>
        <w:tc>
          <w:tcPr>
            <w:tcW w:w="1276" w:type="dxa"/>
            <w:vAlign w:val="center"/>
          </w:tcPr>
          <w:p w14:paraId="4F815AD8" w14:textId="27B9A743"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86FB78" w14:textId="18527FD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7280BDB7" w14:textId="77777777" w:rsidTr="00CF29F5">
        <w:tc>
          <w:tcPr>
            <w:tcW w:w="4536" w:type="dxa"/>
          </w:tcPr>
          <w:p w14:paraId="0BAC90DE" w14:textId="7CB57082" w:rsidR="00CC0668" w:rsidRPr="009E717E" w:rsidRDefault="00CC0668" w:rsidP="00CC0668">
            <w:pPr>
              <w:pStyle w:val="Podbod"/>
              <w:numPr>
                <w:ilvl w:val="0"/>
                <w:numId w:val="24"/>
              </w:numPr>
              <w:jc w:val="left"/>
              <w:rPr>
                <w:rFonts w:asciiTheme="minorHAnsi" w:hAnsiTheme="minorHAnsi"/>
                <w:szCs w:val="22"/>
              </w:rPr>
            </w:pPr>
            <w:r w:rsidRPr="009E717E">
              <w:rPr>
                <w:rFonts w:asciiTheme="minorHAnsi" w:hAnsiTheme="minorHAnsi" w:cs="Arial"/>
                <w:szCs w:val="22"/>
              </w:rPr>
              <w:t>Štítná žláza: anti-TSHR</w:t>
            </w:r>
          </w:p>
        </w:tc>
        <w:tc>
          <w:tcPr>
            <w:tcW w:w="1276" w:type="dxa"/>
            <w:vAlign w:val="center"/>
          </w:tcPr>
          <w:p w14:paraId="763E4593" w14:textId="2FFE63E5"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0009B2" w14:textId="4D4B2268"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3376323" w14:textId="77777777" w:rsidTr="00CF29F5">
        <w:tc>
          <w:tcPr>
            <w:tcW w:w="4536" w:type="dxa"/>
          </w:tcPr>
          <w:p w14:paraId="086BEA62" w14:textId="57AA2AE7" w:rsidR="00CC0668" w:rsidRPr="009E717E" w:rsidRDefault="00CC0668" w:rsidP="00CC0668">
            <w:pPr>
              <w:pStyle w:val="Podbod"/>
              <w:jc w:val="left"/>
              <w:rPr>
                <w:rFonts w:asciiTheme="minorHAnsi" w:hAnsiTheme="minorHAnsi"/>
                <w:szCs w:val="22"/>
              </w:rPr>
            </w:pPr>
            <w:r w:rsidRPr="009E717E">
              <w:rPr>
                <w:rFonts w:asciiTheme="minorHAnsi" w:hAnsiTheme="minorHAnsi" w:cs="Arial"/>
                <w:szCs w:val="22"/>
              </w:rPr>
              <w:t>Analyzátor pro laboratoř se středním výkonem</w:t>
            </w:r>
          </w:p>
        </w:tc>
        <w:tc>
          <w:tcPr>
            <w:tcW w:w="1276" w:type="dxa"/>
            <w:vAlign w:val="center"/>
          </w:tcPr>
          <w:p w14:paraId="2F0B5BCA" w14:textId="5673BDE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CD11F9" w14:textId="314A3E9C"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121B68EC" w14:textId="77777777" w:rsidTr="00CF29F5">
        <w:tc>
          <w:tcPr>
            <w:tcW w:w="4536" w:type="dxa"/>
          </w:tcPr>
          <w:p w14:paraId="5B2EA176" w14:textId="4094E7E5" w:rsidR="00CC0668" w:rsidRPr="009E717E" w:rsidRDefault="00CC0668" w:rsidP="00CC0668">
            <w:pPr>
              <w:pStyle w:val="Podbod"/>
              <w:jc w:val="left"/>
              <w:rPr>
                <w:rFonts w:asciiTheme="minorHAnsi" w:hAnsiTheme="minorHAnsi" w:cs="Arial"/>
                <w:szCs w:val="22"/>
              </w:rPr>
            </w:pPr>
            <w:r w:rsidRPr="009E717E">
              <w:rPr>
                <w:rFonts w:asciiTheme="minorHAnsi" w:hAnsiTheme="minorHAnsi" w:cs="Arial"/>
                <w:b/>
                <w:szCs w:val="22"/>
              </w:rPr>
              <w:t>Další požadavky:</w:t>
            </w:r>
          </w:p>
        </w:tc>
        <w:tc>
          <w:tcPr>
            <w:tcW w:w="1276" w:type="dxa"/>
            <w:vAlign w:val="center"/>
          </w:tcPr>
          <w:p w14:paraId="26F51A50" w14:textId="0850B6C6"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FF3EDD" w14:textId="1B808414"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3C7477A8" w14:textId="77777777" w:rsidTr="00CF29F5">
        <w:tc>
          <w:tcPr>
            <w:tcW w:w="4536" w:type="dxa"/>
          </w:tcPr>
          <w:p w14:paraId="2223421C" w14:textId="1183A605" w:rsidR="00CC0668" w:rsidRPr="009E717E" w:rsidRDefault="00CC0668" w:rsidP="009C0358">
            <w:pPr>
              <w:rPr>
                <w:rFonts w:asciiTheme="minorHAnsi" w:hAnsiTheme="minorHAnsi"/>
                <w:sz w:val="22"/>
                <w:szCs w:val="22"/>
              </w:rPr>
            </w:pPr>
            <w:r w:rsidRPr="00A246F3">
              <w:rPr>
                <w:rFonts w:asciiTheme="minorHAnsi" w:hAnsiTheme="minorHAnsi" w:cs="Arial"/>
                <w:sz w:val="22"/>
                <w:szCs w:val="22"/>
              </w:rPr>
              <w:t xml:space="preserve">Kompatibilní </w:t>
            </w:r>
            <w:r w:rsidR="009C0358" w:rsidRPr="00A246F3">
              <w:rPr>
                <w:rFonts w:asciiTheme="minorHAnsi" w:hAnsiTheme="minorHAnsi" w:cs="Arial"/>
                <w:sz w:val="22"/>
                <w:szCs w:val="22"/>
              </w:rPr>
              <w:t xml:space="preserve">přístroj </w:t>
            </w:r>
            <w:r w:rsidRPr="00A246F3">
              <w:rPr>
                <w:rFonts w:asciiTheme="minorHAnsi" w:hAnsiTheme="minorHAnsi" w:cs="Arial"/>
                <w:sz w:val="22"/>
                <w:szCs w:val="22"/>
              </w:rPr>
              <w:t>se stávajícími imunoanalyzátory</w:t>
            </w:r>
            <w:r w:rsidR="0078429D" w:rsidRPr="00A246F3">
              <w:rPr>
                <w:rFonts w:asciiTheme="minorHAnsi" w:hAnsiTheme="minorHAnsi" w:cs="Arial"/>
                <w:sz w:val="22"/>
                <w:szCs w:val="22"/>
              </w:rPr>
              <w:t xml:space="preserve"> </w:t>
            </w:r>
            <w:r w:rsidR="009C0358" w:rsidRPr="00A246F3">
              <w:rPr>
                <w:rFonts w:asciiTheme="minorHAnsi" w:hAnsiTheme="minorHAnsi"/>
                <w:sz w:val="22"/>
                <w:szCs w:val="22"/>
              </w:rPr>
              <w:t>stávajícího systému používaného na pracovišti (imunomodul linky cobas 6000 - cobas e 601 firmy ROCHE)</w:t>
            </w:r>
          </w:p>
        </w:tc>
        <w:tc>
          <w:tcPr>
            <w:tcW w:w="1276" w:type="dxa"/>
            <w:vAlign w:val="center"/>
          </w:tcPr>
          <w:p w14:paraId="3DABEDBC" w14:textId="2C57A4F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7CC1CAB" w14:textId="395F9BCD"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r w:rsidR="00CC0668" w:rsidRPr="002476E6" w14:paraId="2AEEC32D" w14:textId="77777777" w:rsidTr="00CF29F5">
        <w:tc>
          <w:tcPr>
            <w:tcW w:w="4536" w:type="dxa"/>
          </w:tcPr>
          <w:p w14:paraId="7B90BD90" w14:textId="24C265E6" w:rsidR="00CC0668" w:rsidRPr="009E717E" w:rsidRDefault="00CC0668" w:rsidP="00CC0668">
            <w:pPr>
              <w:pStyle w:val="Podbod"/>
              <w:jc w:val="left"/>
              <w:rPr>
                <w:rFonts w:asciiTheme="minorHAnsi" w:hAnsiTheme="minorHAnsi" w:cs="Arial"/>
                <w:szCs w:val="22"/>
              </w:rPr>
            </w:pPr>
            <w:r w:rsidRPr="009E717E">
              <w:rPr>
                <w:rFonts w:asciiTheme="minorHAnsi" w:hAnsiTheme="minorHAnsi" w:cs="Arial"/>
                <w:szCs w:val="22"/>
              </w:rPr>
              <w:t>Možnost rychlého stanovení Anti-SARS-CoV-2 výhodou</w:t>
            </w:r>
          </w:p>
        </w:tc>
        <w:tc>
          <w:tcPr>
            <w:tcW w:w="1276" w:type="dxa"/>
            <w:vAlign w:val="center"/>
          </w:tcPr>
          <w:p w14:paraId="7AC54950" w14:textId="23E8D0AE"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9A7E5D" w14:textId="359A6872" w:rsidR="00CC0668" w:rsidRPr="002476E6" w:rsidRDefault="00CC0668" w:rsidP="00CC0668">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22A4E14B" w:rsidR="00BE2F18" w:rsidRDefault="00BE2F18" w:rsidP="00BE2F18">
      <w:pPr>
        <w:rPr>
          <w:lang w:eastAsia="en-US"/>
        </w:rPr>
      </w:pPr>
    </w:p>
    <w:p w14:paraId="2A3E0CAD" w14:textId="77777777" w:rsidR="00410BD3" w:rsidRDefault="00410BD3" w:rsidP="00A246F3">
      <w:pPr>
        <w:pStyle w:val="Nadpis2"/>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5A4DA34B" w14:textId="77777777" w:rsidR="00BE2F18" w:rsidRDefault="00BE2F18" w:rsidP="00BE2F18">
      <w:pPr>
        <w:rPr>
          <w:lang w:eastAsia="en-US"/>
        </w:rPr>
      </w:pPr>
    </w:p>
    <w:p w14:paraId="19ACA119" w14:textId="0EACF4A8" w:rsidR="00A246F3" w:rsidRDefault="00A246F3" w:rsidP="00BE2F18">
      <w:pPr>
        <w:rPr>
          <w:lang w:eastAsia="en-US"/>
        </w:rPr>
      </w:pPr>
    </w:p>
    <w:p w14:paraId="3828A7B7" w14:textId="77777777" w:rsidR="00A246F3" w:rsidRDefault="00A246F3" w:rsidP="00A246F3">
      <w:pPr>
        <w:pStyle w:val="Nadpis5"/>
        <w:rPr>
          <w:bCs/>
          <w:lang w:eastAsia="en-US"/>
        </w:rPr>
      </w:pPr>
      <w:bookmarkStart w:id="2" w:name="_Hlk46760721"/>
      <w:r>
        <w:rPr>
          <w:bCs/>
          <w:lang w:eastAsia="en-US"/>
        </w:rPr>
        <w:t xml:space="preserve">B) Požadavky, které budou součástí dodávky předmětu plnění </w:t>
      </w:r>
    </w:p>
    <w:p w14:paraId="0AB6E3E9" w14:textId="77777777" w:rsidR="00A246F3" w:rsidRDefault="00A246F3" w:rsidP="00A246F3">
      <w:pPr>
        <w:rPr>
          <w:lang w:eastAsia="en-US"/>
        </w:rPr>
      </w:pPr>
    </w:p>
    <w:p w14:paraId="5DD4CDDB" w14:textId="5B90B997" w:rsidR="00BE2F18" w:rsidRPr="00BE2F18" w:rsidRDefault="00A246F3" w:rsidP="00A246F3">
      <w:pPr>
        <w:spacing w:after="240"/>
        <w:rPr>
          <w:lang w:eastAsia="en-US"/>
        </w:rPr>
      </w:pPr>
      <w:r>
        <w:rPr>
          <w:lang w:eastAsia="en-US"/>
        </w:rPr>
        <w:t>DODAVATEL MÁ POVINNOST VYPLNIT SPLNĚNÍ POŽADAVKU V TABULCE ANO/NE. SPNĚNÍ UVEDENÝCH POŽADAVKŮ POŽADUJE ZADAVATEL V RÁMCI DODÁVKY PŘEDMĚTU PLNĚNÍ.</w:t>
      </w:r>
      <w:bookmarkEnd w:id="2"/>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D50B640" w:rsidR="0065447C" w:rsidRPr="002476E6" w:rsidRDefault="00A246F3"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r w:rsidRPr="00917D48">
          <w:rPr>
            <w:rFonts w:ascii="Calibri" w:hAnsi="Calibri" w:cs="Calibri"/>
            <w:szCs w:val="20"/>
          </w:rPr>
          <w:t xml:space="preserve">reg.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23"/>
  </w:num>
  <w:num w:numId="4">
    <w:abstractNumId w:val="8"/>
  </w:num>
  <w:num w:numId="5">
    <w:abstractNumId w:val="5"/>
  </w:num>
  <w:num w:numId="6">
    <w:abstractNumId w:val="9"/>
  </w:num>
  <w:num w:numId="7">
    <w:abstractNumId w:val="9"/>
  </w:num>
  <w:num w:numId="8">
    <w:abstractNumId w:val="22"/>
  </w:num>
  <w:num w:numId="9">
    <w:abstractNumId w:val="2"/>
  </w:num>
  <w:num w:numId="10">
    <w:abstractNumId w:val="14"/>
  </w:num>
  <w:num w:numId="11">
    <w:abstractNumId w:val="13"/>
  </w:num>
  <w:num w:numId="12">
    <w:abstractNumId w:val="20"/>
  </w:num>
  <w:num w:numId="13">
    <w:abstractNumId w:val="6"/>
  </w:num>
  <w:num w:numId="14">
    <w:abstractNumId w:val="17"/>
  </w:num>
  <w:num w:numId="15">
    <w:abstractNumId w:val="19"/>
  </w:num>
  <w:num w:numId="16">
    <w:abstractNumId w:val="10"/>
  </w:num>
  <w:num w:numId="17">
    <w:abstractNumId w:val="12"/>
  </w:num>
  <w:num w:numId="18">
    <w:abstractNumId w:val="7"/>
  </w:num>
  <w:num w:numId="19">
    <w:abstractNumId w:val="15"/>
  </w:num>
  <w:num w:numId="20">
    <w:abstractNumId w:val="21"/>
  </w:num>
  <w:num w:numId="21">
    <w:abstractNumId w:val="16"/>
  </w:num>
  <w:num w:numId="22">
    <w:abstractNumId w:val="11"/>
  </w:num>
  <w:num w:numId="23">
    <w:abstractNumId w:val="4"/>
  </w:num>
  <w:num w:numId="24">
    <w:abstractNumId w:val="0"/>
  </w:num>
  <w:num w:numId="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41E98"/>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570BF"/>
    <w:rsid w:val="00767CC9"/>
    <w:rsid w:val="00783B7D"/>
    <w:rsid w:val="0078429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1B7D"/>
    <w:rsid w:val="009A239C"/>
    <w:rsid w:val="009A2616"/>
    <w:rsid w:val="009B4E45"/>
    <w:rsid w:val="009C0358"/>
    <w:rsid w:val="009C0B4C"/>
    <w:rsid w:val="009C7FE5"/>
    <w:rsid w:val="009E189C"/>
    <w:rsid w:val="009E5366"/>
    <w:rsid w:val="009E717E"/>
    <w:rsid w:val="00A075F1"/>
    <w:rsid w:val="00A246F3"/>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C0668"/>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64F36"/>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EF7647"/>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A246F3"/>
    <w:pPr>
      <w:keepNext/>
      <w:shd w:val="clear" w:color="auto" w:fill="FFD966" w:themeFill="accent4" w:themeFillTint="99"/>
      <w:jc w:val="both"/>
      <w:outlineLvl w:val="7"/>
    </w:pPr>
    <w:rPr>
      <w:rFonts w:ascii="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paragraph" w:customStyle="1" w:styleId="H-TextFormat">
    <w:name w:val="H-TextFormat"/>
    <w:next w:val="Normln"/>
    <w:uiPriority w:val="99"/>
    <w:rsid w:val="009A1B7D"/>
    <w:pPr>
      <w:widowControl w:val="0"/>
      <w:autoSpaceDE w:val="0"/>
      <w:autoSpaceDN w:val="0"/>
      <w:adjustRightInd w:val="0"/>
      <w:spacing w:after="0" w:line="240" w:lineRule="auto"/>
    </w:pPr>
    <w:rPr>
      <w:rFonts w:ascii="Arial" w:eastAsiaTheme="minorEastAsia" w:hAnsi="Arial" w:cs="Arial"/>
      <w:u w:color="000000"/>
      <w:lang w:val="en-US" w:eastAsia="cs-CZ"/>
    </w:rPr>
  </w:style>
  <w:style w:type="character" w:customStyle="1" w:styleId="Nadpis8Char">
    <w:name w:val="Nadpis 8 Char"/>
    <w:basedOn w:val="Standardnpsmoodstavce"/>
    <w:link w:val="Nadpis8"/>
    <w:uiPriority w:val="9"/>
    <w:rsid w:val="00A246F3"/>
    <w:rPr>
      <w:rFonts w:ascii="Calibri" w:eastAsia="Times New Roman" w:hAnsi="Calibri" w:cs="Calibri"/>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77791862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CAFC1-2279-4D72-916D-FA32AD38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855</Words>
  <Characters>5045</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cp:lastPrinted>2020-06-12T10:01:00Z</cp:lastPrinted>
  <dcterms:created xsi:type="dcterms:W3CDTF">2020-07-26T21:37:00Z</dcterms:created>
  <dcterms:modified xsi:type="dcterms:W3CDTF">2020-07-27T14:49:00Z</dcterms:modified>
</cp:coreProperties>
</file>